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eiryo" w:hAnsi="Meiryo" w:eastAsia="Meiryo"/>
          <w:b/>
          <w:color w:val="1F4E78"/>
          <w:sz w:val="40"/>
        </w:rPr>
        <w:t>テスト設計仕様書</w:t>
      </w:r>
    </w:p>
    <w:p>
      <w:pPr>
        <w:jc w:val="center"/>
      </w:pPr>
      <w:r>
        <w:rPr>
          <w:rFonts w:ascii="Meiryo" w:hAnsi="Meiryo" w:eastAsia="Meiryo"/>
          <w:b/>
          <w:sz w:val="24"/>
        </w:rPr>
        <w:t>製造記録票PDF 読み取り・集計ツール</w:t>
      </w:r>
    </w:p>
    <w:p>
      <w:pPr>
        <w:jc w:val="center"/>
      </w:pPr>
      <w:r>
        <w:rPr>
          <w:rFonts w:ascii="Meiryo" w:hAnsi="Meiryo" w:eastAsia="Meiryo"/>
          <w:b/>
          <w:color w:val="1F4E78"/>
          <w:sz w:val="24"/>
        </w:rPr>
        <w:t>第2版（v2）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551"/>
            <w:shd w:val="clear" w:fill="1F4E78"/>
          </w:tcPr>
          <w:p>
            <w:r/>
            <w:r>
              <w:rPr>
                <w:rFonts w:ascii="Meiryo" w:hAnsi="Meiryo" w:eastAsia="Meiryo"/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7087"/>
            <w:shd w:val="clear" w:fill="1F4E78"/>
          </w:tcPr>
          <w:p>
            <w:r/>
            <w:r>
              <w:rPr>
                <w:rFonts w:ascii="Meiryo" w:hAnsi="Meiryo" w:eastAsia="Meiryo"/>
                <w:b/>
                <w:color w:val="FFFFFF"/>
                <w:sz w:val="18"/>
              </w:rPr>
              <w:t>内容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eiryo" w:hAnsi="Meiryo" w:eastAsia="Meiryo"/>
                <w:b w:val="0"/>
                <w:sz w:val="18"/>
              </w:rPr>
              <w:t>版</w:t>
            </w:r>
          </w:p>
        </w:tc>
        <w:tc>
          <w:tcPr>
            <w:tcW w:type="dxa" w:w="7087"/>
          </w:tcPr>
          <w:p>
            <w:r/>
            <w:r>
              <w:rPr>
                <w:rFonts w:ascii="Meiryo" w:hAnsi="Meiryo" w:eastAsia="Meiryo"/>
                <w:b w:val="0"/>
                <w:sz w:val="18"/>
              </w:rPr>
              <w:t>第2版（v2）　※第1版から版を一つ上げた更新版（基礎10）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eiryo" w:hAnsi="Meiryo" w:eastAsia="Meiryo"/>
                <w:b w:val="0"/>
                <w:sz w:val="18"/>
              </w:rPr>
              <w:t>対応要求仕様書</w:t>
            </w:r>
          </w:p>
        </w:tc>
        <w:tc>
          <w:tcPr>
            <w:tcW w:type="dxa" w:w="7087"/>
          </w:tcPr>
          <w:p>
            <w:r/>
            <w:r>
              <w:rPr>
                <w:rFonts w:ascii="Meiryo" w:hAnsi="Meiryo" w:eastAsia="Meiryo"/>
                <w:b w:val="0"/>
                <w:sz w:val="18"/>
              </w:rPr>
              <w:t>製造記録票PDF集計ツール 要求仕様書 v2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eiryo" w:hAnsi="Meiryo" w:eastAsia="Meiryo"/>
                <w:b w:val="0"/>
                <w:sz w:val="18"/>
              </w:rPr>
              <w:t>対応設計仕様書</w:t>
            </w:r>
          </w:p>
        </w:tc>
        <w:tc>
          <w:tcPr>
            <w:tcW w:type="dxa" w:w="7087"/>
          </w:tcPr>
          <w:p>
            <w:r/>
            <w:r>
              <w:rPr>
                <w:rFonts w:ascii="Meiryo" w:hAnsi="Meiryo" w:eastAsia="Meiryo"/>
                <w:b w:val="0"/>
                <w:sz w:val="18"/>
              </w:rPr>
              <w:t>製造記録票PDF集計ツール 設計仕様書 第2版（v2）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eiryo" w:hAnsi="Meiryo" w:eastAsia="Meiryo"/>
                <w:b w:val="0"/>
                <w:sz w:val="18"/>
              </w:rPr>
              <w:t>対象様式</w:t>
            </w:r>
          </w:p>
        </w:tc>
        <w:tc>
          <w:tcPr>
            <w:tcW w:type="dxa" w:w="7087"/>
          </w:tcPr>
          <w:p>
            <w:r/>
            <w:r>
              <w:rPr>
                <w:rFonts w:ascii="Meiryo" w:hAnsi="Meiryo" w:eastAsia="Meiryo"/>
                <w:b w:val="0"/>
                <w:sz w:val="18"/>
              </w:rPr>
              <w:t>F-PRD-014（第3版）製造記録票（初版から変更なし）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eiryo" w:hAnsi="Meiryo" w:eastAsia="Meiryo"/>
                <w:b w:val="0"/>
                <w:sz w:val="18"/>
              </w:rPr>
              <w:t>唯一の入力</w:t>
            </w:r>
          </w:p>
        </w:tc>
        <w:tc>
          <w:tcPr>
            <w:tcW w:type="dxa" w:w="7087"/>
          </w:tcPr>
          <w:p>
            <w:r/>
            <w:r>
              <w:rPr>
                <w:rFonts w:ascii="Meiryo" w:hAnsi="Meiryo" w:eastAsia="Meiryo"/>
                <w:b w:val="0"/>
                <w:sz w:val="18"/>
              </w:rPr>
              <w:t>要求仕様書v2・設計仕様書v2・設計の基礎・現行テスト設計仕様書（第1版）・現行マトリクス・入力サンプルPDF・完成イメージExcel（会話の記憶を根拠にしない＝基礎1）</w:t>
            </w:r>
          </w:p>
        </w:tc>
      </w:tr>
      <w:tr>
        <w:tc>
          <w:tcPr>
            <w:tcW w:type="dxa" w:w="2551"/>
          </w:tcPr>
          <w:p>
            <w:r/>
            <w:r>
              <w:rPr>
                <w:rFonts w:ascii="Meiryo" w:hAnsi="Meiryo" w:eastAsia="Meiryo"/>
                <w:b w:val="0"/>
                <w:sz w:val="18"/>
              </w:rPr>
              <w:t>期待値の基点</w:t>
            </w:r>
          </w:p>
        </w:tc>
        <w:tc>
          <w:tcPr>
            <w:tcW w:type="dxa" w:w="7087"/>
          </w:tcPr>
          <w:p>
            <w:r/>
            <w:r>
              <w:rPr>
                <w:rFonts w:ascii="Meiryo" w:hAnsi="Meiryo" w:eastAsia="Meiryo"/>
                <w:b w:val="0"/>
                <w:sz w:val="18"/>
              </w:rPr>
              <w:t>完成イメージExcel「製造記録集計_完成イメージ.xlsx」10件（v1から不変。人間確認済みの正解）</w:t>
            </w:r>
          </w:p>
        </w:tc>
      </w:tr>
    </w:tbl>
    <w:p/>
    <w:p>
      <w:pPr>
        <w:pStyle w:val="Heading2"/>
      </w:pPr>
      <w:r>
        <w:rPr>
          <w:rFonts w:ascii="Meiryo" w:hAnsi="Meiryo" w:eastAsia="Meiryo"/>
          <w:b/>
          <w:color w:val="1F4E78"/>
          <w:sz w:val="24"/>
        </w:rPr>
        <w:t>更新履歴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1247"/>
            <w:shd w:val="clear" w:fill="1F4E78"/>
          </w:tcPr>
          <w:p>
            <w:r/>
            <w:r>
              <w:rPr>
                <w:rFonts w:ascii="Meiryo" w:hAnsi="Meiryo" w:eastAsia="Meiryo"/>
                <w:b/>
                <w:color w:val="FFFFFF"/>
                <w:sz w:val="18"/>
              </w:rPr>
              <w:t>版</w:t>
            </w:r>
          </w:p>
        </w:tc>
        <w:tc>
          <w:tcPr>
            <w:tcW w:type="dxa" w:w="2835"/>
            <w:shd w:val="clear" w:fill="1F4E78"/>
          </w:tcPr>
          <w:p>
            <w:r/>
            <w:r>
              <w:rPr>
                <w:rFonts w:ascii="Meiryo" w:hAnsi="Meiryo" w:eastAsia="Meiryo"/>
                <w:b/>
                <w:color w:val="FFFFFF"/>
                <w:sz w:val="18"/>
              </w:rPr>
              <w:t>対応要求/設計</w:t>
            </w:r>
          </w:p>
        </w:tc>
        <w:tc>
          <w:tcPr>
            <w:tcW w:type="dxa" w:w="5556"/>
            <w:shd w:val="clear" w:fill="1F4E78"/>
          </w:tcPr>
          <w:p>
            <w:r/>
            <w:r>
              <w:rPr>
                <w:rFonts w:ascii="Meiryo" w:hAnsi="Meiryo" w:eastAsia="Meiryo"/>
                <w:b/>
                <w:color w:val="FFFFFF"/>
                <w:sz w:val="18"/>
              </w:rPr>
              <w:t>変更内容</w:t>
            </w:r>
          </w:p>
        </w:tc>
      </w:tr>
      <w:tr>
        <w:tc>
          <w:tcPr>
            <w:tcW w:type="dxa" w:w="1247"/>
          </w:tcPr>
          <w:p>
            <w:r/>
            <w:r>
              <w:rPr>
                <w:rFonts w:ascii="Meiryo" w:hAnsi="Meiryo" w:eastAsia="Meiryo"/>
                <w:b w:val="0"/>
                <w:sz w:val="18"/>
              </w:rPr>
              <w:t>第1版</w:t>
            </w:r>
          </w:p>
        </w:tc>
        <w:tc>
          <w:tcPr>
            <w:tcW w:type="dxa" w:w="2835"/>
          </w:tcPr>
          <w:p>
            <w:r/>
            <w:r>
              <w:rPr>
                <w:rFonts w:ascii="Meiryo" w:hAnsi="Meiryo" w:eastAsia="Meiryo"/>
                <w:b w:val="0"/>
                <w:sz w:val="18"/>
              </w:rPr>
              <w:t>要求 初版 / 設計 第1版</w:t>
            </w:r>
          </w:p>
        </w:tc>
        <w:tc>
          <w:tcPr>
            <w:tcW w:type="dxa" w:w="5556"/>
          </w:tcPr>
          <w:p>
            <w:r/>
            <w:r>
              <w:rPr>
                <w:rFonts w:ascii="Meiryo" w:hAnsi="Meiryo" w:eastAsia="Meiryo"/>
                <w:b w:val="0"/>
                <w:sz w:val="18"/>
              </w:rPr>
              <w:t>新規作成。V-01〜V-45（自動40＋実機/手動5）。ローカルPC完結・tkinter確認修正・Excel出力。</w:t>
            </w:r>
          </w:p>
        </w:tc>
      </w:tr>
      <w:tr>
        <w:tc>
          <w:tcPr>
            <w:tcW w:type="dxa" w:w="1247"/>
          </w:tcPr>
          <w:p>
            <w:r/>
            <w:r>
              <w:rPr>
                <w:rFonts w:ascii="Meiryo" w:hAnsi="Meiryo" w:eastAsia="Meiryo"/>
                <w:b w:val="0"/>
                <w:sz w:val="18"/>
              </w:rPr>
              <w:t>第2版</w:t>
            </w:r>
          </w:p>
        </w:tc>
        <w:tc>
          <w:tcPr>
            <w:tcW w:type="dxa" w:w="2835"/>
          </w:tcPr>
          <w:p>
            <w:r/>
            <w:r>
              <w:rPr>
                <w:rFonts w:ascii="Meiryo" w:hAnsi="Meiryo" w:eastAsia="Meiryo"/>
                <w:b w:val="0"/>
                <w:sz w:val="18"/>
              </w:rPr>
              <w:t>要求 v2 / 設計 第2版</w:t>
            </w:r>
          </w:p>
        </w:tc>
        <w:tc>
          <w:tcPr>
            <w:tcW w:type="dxa" w:w="5556"/>
          </w:tcPr>
          <w:p>
            <w:r/>
            <w:r>
              <w:rPr>
                <w:rFonts w:ascii="Meiryo" w:hAnsi="Meiryo" w:eastAsia="Meiryo"/>
                <w:b w:val="0"/>
                <w:sz w:val="18"/>
              </w:rPr>
              <w:t>v2差分に対応するテストのみ積み増し。追加V-46〜V-58。退役V-31/39/43/44。据え置き分は変更しない。</w:t>
            </w:r>
          </w:p>
        </w:tc>
      </w:tr>
    </w:tbl>
    <w:p>
      <w:pPr>
        <w:pStyle w:val="Heading2"/>
      </w:pPr>
      <w:r>
        <w:rPr>
          <w:rFonts w:ascii="Meiryo" w:hAnsi="Meiryo" w:eastAsia="Meiryo"/>
          <w:b/>
          <w:color w:val="1F4E78"/>
          <w:sz w:val="24"/>
        </w:rPr>
        <w:t>差分サマリー（第1版 → 第2版）</w:t>
      </w:r>
    </w:p>
    <w:p>
      <w:pPr>
        <w:spacing w:after="80"/>
      </w:pPr>
      <w:r>
        <w:rPr>
          <w:rFonts w:ascii="Meiryo" w:hAnsi="Meiryo" w:eastAsia="Meiryo"/>
          <w:b w:val="0"/>
          <w:sz w:val="21"/>
        </w:rPr>
        <w:t>基礎10に従い、変更の起点として差分を先に示す。既存V-IDは振り直さない。退役は行を残して印を付け、新規は続き番号で起こす。据え置きの通っているテストには触れない（リグレッション回避）。</w:t>
      </w:r>
    </w:p>
    <w:p>
      <w:pPr>
        <w:spacing w:after="40"/>
      </w:pPr>
      <w:r>
        <w:rPr>
          <w:rFonts w:ascii="Meiryo" w:hAnsi="Meiryo" w:eastAsia="Meiryo"/>
          <w:b/>
          <w:sz w:val="21"/>
        </w:rPr>
        <w:t>追加した観点（続き番号 V-46〜V-58）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680"/>
            <w:shd w:val="clear" w:fill="1F4E78"/>
          </w:tcPr>
          <w:p>
            <w:r/>
            <w:r>
              <w:rPr>
                <w:rFonts w:ascii="Meiryo" w:hAnsi="Meiryo" w:eastAsia="Meiryo"/>
                <w:b/>
                <w:color w:val="FFFFFF"/>
                <w:sz w:val="16"/>
              </w:rPr>
              <w:t>V-ID</w:t>
            </w:r>
          </w:p>
        </w:tc>
        <w:tc>
          <w:tcPr>
            <w:tcW w:type="dxa" w:w="3628"/>
            <w:shd w:val="clear" w:fill="1F4E78"/>
          </w:tcPr>
          <w:p>
            <w:r/>
            <w:r>
              <w:rPr>
                <w:rFonts w:ascii="Meiryo" w:hAnsi="Meiryo" w:eastAsia="Meiryo"/>
                <w:b/>
                <w:color w:val="FFFFFF"/>
                <w:sz w:val="16"/>
              </w:rPr>
              <w:t>観点</w:t>
            </w:r>
          </w:p>
        </w:tc>
        <w:tc>
          <w:tcPr>
            <w:tcW w:type="dxa" w:w="2608"/>
            <w:shd w:val="clear" w:fill="1F4E78"/>
          </w:tcPr>
          <w:p>
            <w:r/>
            <w:r>
              <w:rPr>
                <w:rFonts w:ascii="Meiryo" w:hAnsi="Meiryo" w:eastAsia="Meiryo"/>
                <w:b/>
                <w:color w:val="FFFFFF"/>
                <w:sz w:val="16"/>
              </w:rPr>
              <w:t>対応REQ / DES</w:t>
            </w:r>
          </w:p>
        </w:tc>
        <w:tc>
          <w:tcPr>
            <w:tcW w:type="dxa" w:w="907"/>
            <w:shd w:val="clear" w:fill="1F4E78"/>
          </w:tcPr>
          <w:p>
            <w:r/>
            <w:r>
              <w:rPr>
                <w:rFonts w:ascii="Meiryo" w:hAnsi="Meiryo" w:eastAsia="Meiryo"/>
                <w:b/>
                <w:color w:val="FFFFFF"/>
                <w:sz w:val="16"/>
              </w:rPr>
              <w:t>外側/内側</w:t>
            </w:r>
          </w:p>
        </w:tc>
        <w:tc>
          <w:tcPr>
            <w:tcW w:type="dxa" w:w="907"/>
            <w:shd w:val="clear" w:fill="1F4E78"/>
          </w:tcPr>
          <w:p>
            <w:r/>
            <w:r>
              <w:rPr>
                <w:rFonts w:ascii="Meiryo" w:hAnsi="Meiryo" w:eastAsia="Meiryo"/>
                <w:b/>
                <w:color w:val="FFFFFF"/>
                <w:sz w:val="16"/>
              </w:rPr>
              <w:t>種類</w:t>
            </w:r>
          </w:p>
        </w:tc>
      </w:tr>
      <w:tr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V-46</w:t>
            </w:r>
          </w:p>
        </w:tc>
        <w:tc>
          <w:tcPr>
            <w:tcW w:type="dxa" w:w="362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should_highlight：手書き×低自信=真／印字は対象外</w:t>
            </w:r>
          </w:p>
        </w:tc>
        <w:tc>
          <w:tcPr>
            <w:tcW w:type="dxa" w:w="260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REQ-4.1.1 / DES-C13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内側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単体</w:t>
            </w:r>
          </w:p>
        </w:tc>
      </w:tr>
      <w:tr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V-47</w:t>
            </w:r>
          </w:p>
        </w:tc>
        <w:tc>
          <w:tcPr>
            <w:tcW w:type="dxa" w:w="362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should_highlight：しきい値ちょうどは塗らない（未満のみ）</w:t>
            </w:r>
          </w:p>
        </w:tc>
        <w:tc>
          <w:tcPr>
            <w:tcW w:type="dxa" w:w="260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REQ-4.1.1 / DES-C13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内側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単体</w:t>
            </w:r>
          </w:p>
        </w:tc>
      </w:tr>
      <w:tr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V-48</w:t>
            </w:r>
          </w:p>
        </w:tc>
        <w:tc>
          <w:tcPr>
            <w:tcW w:type="dxa" w:w="362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write_excel：手書き低自信セルをHIGHLIGHT色で塗る・値は不変</w:t>
            </w:r>
          </w:p>
        </w:tc>
        <w:tc>
          <w:tcPr>
            <w:tcW w:type="dxa" w:w="260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REQ-4.1.1/6.1.6 / DES-C11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内側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結合</w:t>
            </w:r>
          </w:p>
        </w:tc>
      </w:tr>
      <w:tr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V-49</w:t>
            </w:r>
          </w:p>
        </w:tc>
        <w:tc>
          <w:tcPr>
            <w:tcW w:type="dxa" w:w="362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write_excel：印字は低自信でも塗らない</w:t>
            </w:r>
          </w:p>
        </w:tc>
        <w:tc>
          <w:tcPr>
            <w:tcW w:type="dxa" w:w="260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REQ-4.1.1 / DES-C11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内側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結合</w:t>
            </w:r>
          </w:p>
        </w:tc>
      </w:tr>
      <w:tr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V-50</w:t>
            </w:r>
          </w:p>
        </w:tc>
        <w:tc>
          <w:tcPr>
            <w:tcW w:type="dxa" w:w="362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write_excel：読取失敗行は手書き全塗り・印字無塗り</w:t>
            </w:r>
          </w:p>
        </w:tc>
        <w:tc>
          <w:tcPr>
            <w:tcW w:type="dxa" w:w="260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REQ-4.1.1/6.1.6 / DES-C11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内側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結合</w:t>
            </w:r>
          </w:p>
        </w:tc>
      </w:tr>
      <w:tr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V-51</w:t>
            </w:r>
          </w:p>
        </w:tc>
        <w:tc>
          <w:tcPr>
            <w:tcW w:type="dxa" w:w="362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run_batch：壊れPDF2枚→BatchSummary(2,0,2)・1枚失敗で止めない</w:t>
            </w:r>
          </w:p>
        </w:tc>
        <w:tc>
          <w:tcPr>
            <w:tcW w:type="dxa" w:w="260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REQ-6.1.6/7.3.2/1.1.3 / DES-C14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内側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結合</w:t>
            </w:r>
          </w:p>
        </w:tc>
      </w:tr>
      <w:tr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V-52</w:t>
            </w:r>
          </w:p>
        </w:tc>
        <w:tc>
          <w:tcPr>
            <w:tcW w:type="dxa" w:w="362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run_batch：0件→BatchSummary(0,0,0)・見出しのみ</w:t>
            </w:r>
          </w:p>
        </w:tc>
        <w:tc>
          <w:tcPr>
            <w:tcW w:type="dxa" w:w="260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REQ-6.1.6 / DES-C14,M03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内側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結合</w:t>
            </w:r>
          </w:p>
        </w:tc>
      </w:tr>
      <w:tr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V-53</w:t>
            </w:r>
          </w:p>
        </w:tc>
        <w:tc>
          <w:tcPr>
            <w:tcW w:type="dxa" w:w="362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build_server_command：指定反映・docker/像/入出力/run_batchを含む</w:t>
            </w:r>
          </w:p>
        </w:tc>
        <w:tc>
          <w:tcPr>
            <w:tcW w:type="dxa" w:w="260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REQ-7.3.1/7.3.2 / DES-C15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内側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単体</w:t>
            </w:r>
          </w:p>
        </w:tc>
      </w:tr>
      <w:tr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V-54</w:t>
            </w:r>
          </w:p>
        </w:tc>
        <w:tc>
          <w:tcPr>
            <w:tcW w:type="dxa" w:w="362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build_server_command：同一入力→同一文字列（両経路が同一）</w:t>
            </w:r>
          </w:p>
        </w:tc>
        <w:tc>
          <w:tcPr>
            <w:tcW w:type="dxa" w:w="260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REQ-7.2.2/7.1.2 / DES-C15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内側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単体</w:t>
            </w:r>
          </w:p>
        </w:tc>
      </w:tr>
      <w:tr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V-55</w:t>
            </w:r>
          </w:p>
        </w:tc>
        <w:tc>
          <w:tcPr>
            <w:tcW w:type="dxa" w:w="362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run_via_paramiko：SSH接続→転送→起動→回収</w:t>
            </w:r>
          </w:p>
        </w:tc>
        <w:tc>
          <w:tcPr>
            <w:tcW w:type="dxa" w:w="260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REQ-7.1.2/7.2.1/7.3.3 / DES-U06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実I/O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実機</w:t>
            </w:r>
          </w:p>
        </w:tc>
      </w:tr>
      <w:tr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V-56</w:t>
            </w:r>
          </w:p>
        </w:tc>
        <w:tc>
          <w:tcPr>
            <w:tcW w:type="dxa" w:w="362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TeraTerm経路：同じ指定・同じコマンドを投げる</w:t>
            </w:r>
          </w:p>
        </w:tc>
        <w:tc>
          <w:tcPr>
            <w:tcW w:type="dxa" w:w="260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REQ-7.1.2/7.2.2 / connect.ttl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実I/O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実機</w:t>
            </w:r>
          </w:p>
        </w:tc>
      </w:tr>
      <w:tr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V-57</w:t>
            </w:r>
          </w:p>
        </w:tc>
        <w:tc>
          <w:tcPr>
            <w:tcW w:type="dxa" w:w="362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Docker実機：コンテナ起動・GPU割当・run_batch正常系(ok&gt;0)</w:t>
            </w:r>
          </w:p>
        </w:tc>
        <w:tc>
          <w:tcPr>
            <w:tcW w:type="dxa" w:w="260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REQ-7.3.1/7.3.2/6.1.6 / Dockerfile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実I/O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実機</w:t>
            </w:r>
          </w:p>
        </w:tc>
      </w:tr>
      <w:tr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V-58</w:t>
            </w:r>
          </w:p>
        </w:tc>
        <w:tc>
          <w:tcPr>
            <w:tcW w:type="dxa" w:w="362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薄いクライアントUI：入力/出力先の指定と件数表示（表なし）</w:t>
            </w:r>
          </w:p>
        </w:tc>
        <w:tc>
          <w:tcPr>
            <w:tcW w:type="dxa" w:w="2608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REQ-7.1.1/6.2.1 / DES-U01,U02,U05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外側</w:t>
            </w:r>
          </w:p>
        </w:tc>
        <w:tc>
          <w:tcPr>
            <w:tcW w:type="dxa" w:w="90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6"/>
              </w:rPr>
              <w:t>手動</w:t>
            </w:r>
          </w:p>
        </w:tc>
      </w:tr>
    </w:tbl>
    <w:p>
      <w:pPr>
        <w:spacing w:after="40"/>
      </w:pPr>
      <w:r>
        <w:rPr>
          <w:rFonts w:ascii="Meiryo" w:hAnsi="Meiryo" w:eastAsia="Meiryo"/>
          <w:b/>
          <w:sz w:val="21"/>
        </w:rPr>
        <w:t>退役させた観点（行は残し「廃止」と印。理由を添える）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680"/>
            <w:shd w:val="clear" w:fill="1F4E78"/>
          </w:tcPr>
          <w:p>
            <w:r/>
            <w:r>
              <w:rPr>
                <w:rFonts w:ascii="Meiryo" w:hAnsi="Meiryo" w:eastAsia="Meiryo"/>
                <w:b/>
                <w:color w:val="FFFFFF"/>
                <w:sz w:val="17"/>
              </w:rPr>
              <w:t>V-ID</w:t>
            </w:r>
          </w:p>
        </w:tc>
        <w:tc>
          <w:tcPr>
            <w:tcW w:type="dxa" w:w="2551"/>
            <w:shd w:val="clear" w:fill="1F4E78"/>
          </w:tcPr>
          <w:p>
            <w:r/>
            <w:r>
              <w:rPr>
                <w:rFonts w:ascii="Meiryo" w:hAnsi="Meiryo" w:eastAsia="Meiryo"/>
                <w:b/>
                <w:color w:val="FFFFFF"/>
                <w:sz w:val="17"/>
              </w:rPr>
              <w:t>観点</w:t>
            </w:r>
          </w:p>
        </w:tc>
        <w:tc>
          <w:tcPr>
            <w:tcW w:type="dxa" w:w="6236"/>
            <w:shd w:val="clear" w:fill="1F4E78"/>
          </w:tcPr>
          <w:p>
            <w:r/>
            <w:r>
              <w:rPr>
                <w:rFonts w:ascii="Meiryo" w:hAnsi="Meiryo" w:eastAsia="Meiryo"/>
                <w:b/>
                <w:color w:val="FFFFFF"/>
                <w:sz w:val="17"/>
              </w:rPr>
              <w:t>廃止理由（対応する要求/設計の廃止）</w:t>
            </w:r>
          </w:p>
        </w:tc>
      </w:tr>
      <w:tr>
        <w:tc>
          <w:tcPr>
            <w:tcW w:type="dxa" w:w="680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7"/>
              </w:rPr>
              <w:t>V-31</w:t>
            </w:r>
          </w:p>
        </w:tc>
        <w:tc>
          <w:tcPr>
            <w:tcW w:type="dxa" w:w="2551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7"/>
              </w:rPr>
              <w:t>確認用情報を行に載せない</w:t>
            </w:r>
          </w:p>
        </w:tc>
        <w:tc>
          <w:tcPr>
            <w:tcW w:type="dxa" w:w="6236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7"/>
              </w:rPr>
              <w:t>REQ-6.1.5廃止（ハイライトを残す方針へ逆転）。record_to_rowが行値に自信度を載せない点はV-28の31要素一致で担保継続。</w:t>
            </w:r>
          </w:p>
        </w:tc>
      </w:tr>
      <w:tr>
        <w:tc>
          <w:tcPr>
            <w:tcW w:type="dxa" w:w="680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7"/>
              </w:rPr>
              <w:t>V-39</w:t>
            </w:r>
          </w:p>
        </w:tc>
        <w:tc>
          <w:tcPr>
            <w:tcW w:type="dxa" w:w="2551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7"/>
              </w:rPr>
              <w:t>編集で値差替・赤解除</w:t>
            </w:r>
          </w:p>
        </w:tc>
        <w:tc>
          <w:tcPr>
            <w:tcW w:type="dxa" w:w="6236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7"/>
              </w:rPr>
              <w:t>REQ-5.2廃止・DES-C12(update_cell_value)廃止。画面編集機能そのものが無くなった。</w:t>
            </w:r>
          </w:p>
        </w:tc>
      </w:tr>
      <w:tr>
        <w:tc>
          <w:tcPr>
            <w:tcW w:type="dxa" w:w="680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7"/>
              </w:rPr>
              <w:t>V-43</w:t>
            </w:r>
          </w:p>
        </w:tc>
        <w:tc>
          <w:tcPr>
            <w:tcW w:type="dxa" w:w="2551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7"/>
              </w:rPr>
              <w:t>UI表示・赤</w:t>
            </w:r>
          </w:p>
        </w:tc>
        <w:tc>
          <w:tcPr>
            <w:tcW w:type="dxa" w:w="6236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7"/>
              </w:rPr>
              <w:t>REQ-5.1.1廃止（画面表形式表示を廃止）。REQ-4.1.1のハイライトはV-46〜V-50で担保。</w:t>
            </w:r>
          </w:p>
        </w:tc>
      </w:tr>
      <w:tr>
        <w:tc>
          <w:tcPr>
            <w:tcW w:type="dxa" w:w="680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7"/>
              </w:rPr>
              <w:t>V-44</w:t>
            </w:r>
          </w:p>
        </w:tc>
        <w:tc>
          <w:tcPr>
            <w:tcW w:type="dxa" w:w="2551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7"/>
              </w:rPr>
              <w:t>UI編集</w:t>
            </w:r>
          </w:p>
        </w:tc>
        <w:tc>
          <w:tcPr>
            <w:tcW w:type="dxa" w:w="6236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7"/>
              </w:rPr>
              <w:t>REQ-5.2.1廃止（その場修正を廃止）。修正は人が出力Excel上で行う（ツール外）。</w:t>
            </w:r>
          </w:p>
        </w:tc>
      </w:tr>
    </w:tbl>
    <w:p>
      <w:pPr>
        <w:spacing w:after="40"/>
      </w:pPr>
      <w:r>
        <w:rPr>
          <w:rFonts w:ascii="Meiryo" w:hAnsi="Meiryo" w:eastAsia="Meiryo"/>
          <w:b/>
          <w:sz w:val="21"/>
        </w:rPr>
        <w:t>据え置き（差分に非該当・変更しない）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V-01〜V-30、V-32〜V-38、V-40、V-41、V-42、V-45。読取コアの数値・日付・整列・出力ロジックはv2で不変（設計v2 0章「波及しない箇所（読取コアの数値・日付・整列ロジック）は触らない」）。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V-45（出力先の指定・手動）はREQ-6.2.1の文言変更（保存ダイアログ→薄いクライアントで出力先指定）のみで、観点は同一のため据え置き（基礎10：単なる文言整理は同一IDのまま）。</w:t>
      </w:r>
    </w:p>
    <w:p>
      <w:r>
        <w:br w:type="page"/>
      </w:r>
    </w:p>
    <w:p>
      <w:pPr>
        <w:pStyle w:val="Heading1"/>
      </w:pPr>
      <w:r>
        <w:rPr>
          <w:rFonts w:ascii="Meiryo" w:hAnsi="Meiryo" w:eastAsia="Meiryo"/>
          <w:b/>
          <w:color w:val="1F4E78"/>
          <w:sz w:val="27"/>
        </w:rPr>
        <w:t>1. テストの狙い</w:t>
      </w:r>
    </w:p>
    <w:p>
      <w:pPr>
        <w:spacing w:after="80"/>
      </w:pPr>
      <w:r>
        <w:rPr>
          <w:rFonts w:ascii="Meiryo" w:hAnsi="Meiryo" w:eastAsia="Meiryo"/>
          <w:b w:val="0"/>
          <w:sz w:val="21"/>
        </w:rPr>
        <w:t>「動く」ではなく「正しい」を確かめる方針はv1から不変。AIが読み取った“後”の決定論部分を、要求仕様書v2の期待値（完成イメージExcel）に紐づけて自動検証する。期待値は実コードから逆算しない（基礎1）。</w:t>
      </w:r>
    </w:p>
    <w:p>
      <w:pPr>
        <w:spacing w:after="40"/>
      </w:pPr>
      <w:r>
        <w:rPr>
          <w:rFonts w:ascii="Meiryo" w:hAnsi="Meiryo" w:eastAsia="Meiryo"/>
          <w:b/>
          <w:sz w:val="21"/>
        </w:rPr>
        <w:t>v2で自動テストに加わった判断（内側）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ハイライト対象の判断（should_highlight＝手書き区分×低自信のみ真・印字は常に対象外）。これはv2の中心変更であり、判断＝内側なので自動テストで担保する（基礎3）。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Excel出力へのハイライト適用（write_excelが手書き低自信セルだけを塗り、値は不変）。塗りはセル書式として読み戻せる＝検証可能（基礎6）。ハイライト色そのもの（RGB）は設計裁量のため、テストは config.HIGHLIGHT_FILL_RGB を正として突き合わせ、色リテラルを直書きしない（色変更で壊れない）。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サーバーバッチの束ね・集計（run_batchがBatchSummaryで件数を返し、1枚失敗で全体を止めない）。起動コマンド生成（build_server_commandが指定を反映し、両経路で同一文字列＝単一の真実源）。</w:t>
      </w:r>
    </w:p>
    <w:p>
      <w:pPr>
        <w:spacing w:after="40"/>
      </w:pPr>
      <w:r>
        <w:rPr>
          <w:rFonts w:ascii="Meiryo" w:hAnsi="Meiryo" w:eastAsia="Meiryo"/>
          <w:b/>
          <w:sz w:val="21"/>
        </w:rPr>
        <w:t>v2で自動テストにしない（決定論オラクル不能）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VLMの読み取り精度（V-42・実機、v1から継続）。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SSH接続・SFTP転送・Excel回収の実挙動（V-55）、TeraTerm経路の実起動（V-56）、Dockerコンテナ起動・GPU割当・VLM正常系（V-57）。実I/O・実環境依存のため実機／手動。コマンド“文字列”の生成と、両経路が同じ文字列を得ることは決定論で担保する（V-53/54）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薄いクライアントUIの画面操作（V-58・手動）。判断はサーバー側coreに切り出し済み（基礎3）。</w:t>
      </w:r>
    </w:p>
    <w:p>
      <w:r>
        <w:br w:type="page"/>
      </w:r>
    </w:p>
    <w:p>
      <w:pPr>
        <w:pStyle w:val="Heading1"/>
      </w:pPr>
      <w:r>
        <w:rPr>
          <w:rFonts w:ascii="Meiryo" w:hAnsi="Meiryo" w:eastAsia="Meiryo"/>
          <w:b/>
          <w:color w:val="1F4E78"/>
          <w:sz w:val="27"/>
        </w:rPr>
        <w:t>2. テスト観点の一覧</w:t>
      </w:r>
    </w:p>
    <w:p>
      <w:pPr>
        <w:spacing w:after="80"/>
      </w:pPr>
      <w:r>
        <w:rPr>
          <w:rFonts w:ascii="Meiryo" w:hAnsi="Meiryo" w:eastAsia="Meiryo"/>
          <w:b w:val="0"/>
          <w:sz w:val="21"/>
        </w:rPr>
        <w:t>テストID（V-）＝観点を主軸に採番。種類（単体／結合／手動・実機）は観点の属性（列）とする（基礎9）。緑=v2追加（V-46〜V-58）、赤=退役（V-31/39/43/44）。それ以外は据え置き。V-01〜V-40・V-46〜V-54は自動テスト、V-41/42・V-55〜V-58は実機／手動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624"/>
            <w:shd w:val="clear" w:fill="1F4E78"/>
          </w:tcPr>
          <w:p>
            <w:r/>
            <w:r>
              <w:rPr>
                <w:rFonts w:ascii="Meiryo" w:hAnsi="Meiryo" w:eastAsia="Meiryo"/>
                <w:b/>
                <w:color w:val="FFFFFF"/>
                <w:sz w:val="14"/>
              </w:rPr>
              <w:t>V-ID</w:t>
            </w:r>
          </w:p>
        </w:tc>
        <w:tc>
          <w:tcPr>
            <w:tcW w:type="dxa" w:w="1701"/>
            <w:shd w:val="clear" w:fill="1F4E78"/>
          </w:tcPr>
          <w:p>
            <w:r/>
            <w:r>
              <w:rPr>
                <w:rFonts w:ascii="Meiryo" w:hAnsi="Meiryo" w:eastAsia="Meiryo"/>
                <w:b/>
                <w:color w:val="FFFFFF"/>
                <w:sz w:val="14"/>
              </w:rPr>
              <w:t>観点</w:t>
            </w:r>
          </w:p>
        </w:tc>
        <w:tc>
          <w:tcPr>
            <w:tcW w:type="dxa" w:w="1531"/>
            <w:shd w:val="clear" w:fill="1F4E78"/>
          </w:tcPr>
          <w:p>
            <w:r/>
            <w:r>
              <w:rPr>
                <w:rFonts w:ascii="Meiryo" w:hAnsi="Meiryo" w:eastAsia="Meiryo"/>
                <w:b/>
                <w:color w:val="FFFFFF"/>
                <w:sz w:val="14"/>
              </w:rPr>
              <w:t>入力</w:t>
            </w:r>
          </w:p>
        </w:tc>
        <w:tc>
          <w:tcPr>
            <w:tcW w:type="dxa" w:w="1701"/>
            <w:shd w:val="clear" w:fill="1F4E78"/>
          </w:tcPr>
          <w:p>
            <w:r/>
            <w:r>
              <w:rPr>
                <w:rFonts w:ascii="Meiryo" w:hAnsi="Meiryo" w:eastAsia="Meiryo"/>
                <w:b/>
                <w:color w:val="FFFFFF"/>
                <w:sz w:val="14"/>
              </w:rPr>
              <w:t>期待する出力</w:t>
            </w:r>
          </w:p>
        </w:tc>
        <w:tc>
          <w:tcPr>
            <w:tcW w:type="dxa" w:w="1814"/>
            <w:shd w:val="clear" w:fill="1F4E78"/>
          </w:tcPr>
          <w:p>
            <w:r/>
            <w:r>
              <w:rPr>
                <w:rFonts w:ascii="Meiryo" w:hAnsi="Meiryo" w:eastAsia="Meiryo"/>
                <w:b/>
                <w:color w:val="FFFFFF"/>
                <w:sz w:val="14"/>
              </w:rPr>
              <w:t>これで分かること</w:t>
            </w:r>
          </w:p>
        </w:tc>
        <w:tc>
          <w:tcPr>
            <w:tcW w:type="dxa" w:w="1417"/>
            <w:shd w:val="clear" w:fill="1F4E78"/>
          </w:tcPr>
          <w:p>
            <w:r/>
            <w:r>
              <w:rPr>
                <w:rFonts w:ascii="Meiryo" w:hAnsi="Meiryo" w:eastAsia="Meiryo"/>
                <w:b/>
                <w:color w:val="FFFFFF"/>
                <w:sz w:val="14"/>
              </w:rPr>
              <w:t>REQ</w:t>
            </w:r>
          </w:p>
        </w:tc>
        <w:tc>
          <w:tcPr>
            <w:tcW w:type="dxa" w:w="680"/>
            <w:shd w:val="clear" w:fill="1F4E78"/>
          </w:tcPr>
          <w:p>
            <w:r/>
            <w:r>
              <w:rPr>
                <w:rFonts w:ascii="Meiryo" w:hAnsi="Meiryo" w:eastAsia="Meiryo"/>
                <w:b/>
                <w:color w:val="FFFFFF"/>
                <w:sz w:val="14"/>
              </w:rPr>
              <w:t>種類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V-01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PDFのみ収集・非PDF除外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.pdf/.txt/.png混在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.pdfだけ収集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対象の絞り込み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REQ-1.1.1/1.1.2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V-02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拡張子の大小を問わない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.pdf/.PDF/.Pdf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3件とも収集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大文字拡張子も拾う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REQ-1.1.1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V-03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サブフォルダは辿らない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直下1＋サブ1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直下1件のみ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探索は直下限定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REQ-1.1.1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V-04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重複排除しない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同一内容別名2件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2件返る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重複を残す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REQ-1.1.3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V-05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ファイル名昇順で安定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c/a/b.pdf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a,b,c順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並びが安定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REQ-1.1.1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V-06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無効フォルダは例外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無いパス/ファイル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例外送出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気づける失敗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REQ-1.1.1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V-07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PDF→PNG描画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1ページPDF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PNGバイト列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画像化が動く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REQ-2.1.1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V-08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壊れPDFは例外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非PDFバイト列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例外送出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破損を検知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REQ-2.1.1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V-09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壊れPDFを読取失敗に畳む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壊れPDF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status=読取失敗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1枚失敗で止めない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REQ-1.1.3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結合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V-10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正常応答→RecordResult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31項目dict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正常・31セル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応答の写し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REQ-2.1.1/3.1.1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V-11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必須キー欠落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1キー欠落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読取失敗・欠セル空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欠落を検知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REQ-3.1.1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V-12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不正構造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壊れたdict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読取失敗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不正JSON検知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REQ-2.1.1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V-13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原文コピー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姓のみ/姓名/空/区切り両種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そのまま保持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正規化しない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REQ-3.3.1/3.2.1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V-14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製造日パース(ゼロ埋なし)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"2025年6月2日"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date(2025,6,2)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日付変換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REQ-6.1.3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V-15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製造日パース(2桁)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"2025年12月25日"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date(2025,12,25)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2桁月日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REQ-6.1.3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V-16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不正日付→None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空/別形式/不能日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None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末尾送り可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REQ-6.1.3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V-17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測定値→float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"500.4"/"6"/"4.6"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500.4/6.0/…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数値化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REQ-6.1.4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V-18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丸め・桁補正なし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"500.44"/"500.00"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500.44/500.0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桁を触らない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REQ-6.1.4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V-19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非数値→None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空/文字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None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不能を空に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REQ-6.1.4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V-20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しきい値ちょうど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conf0.80,th0.80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False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境界の向き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REQ-4.1.1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V-21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未満/超過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0.79/0.81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True/False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判定基準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REQ-4.1.1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V-22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しきい値変更が効く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th0.90 vs 0.80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判定が変わる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設定で変更可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REQ-4.1.2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V-23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範囲外でも比較のみ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conf-0.1/1.5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True/False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妥当性検査せず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REQ-4.1.1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V-24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製造日昇順(完成Excel再現)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撹乱10件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6/2→6/13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並べ替え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REQ-6.1.3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V-25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同一日付は元順保持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同日A,B,C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A,B,C順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安定ソート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REQ-6.1.3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V-26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None日付は末尾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正常＋None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None末尾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末尾送り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REQ-6.1.3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V-27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0件/1件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空/1件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破綻せず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件数境界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REQ-6.1.3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V-28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1行→31列(完成Excel一致)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L250602A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完成Excel1行一致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行化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REQ-6.1.1/6.1.2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V-29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測定12項目はfloat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L250602A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12項目float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型が数値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REQ-6.1.4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V-30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空/不能は空セル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特記空・測定不能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該当None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空欄・不能の扱い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REQ-3.2.1/6.1.4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V-31</w:t>
            </w:r>
          </w:p>
        </w:tc>
        <w:tc>
          <w:tcPr>
            <w:tcW w:type="dxa" w:w="1701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【廃止】確認用情報を載せない</w:t>
            </w:r>
          </w:p>
        </w:tc>
        <w:tc>
          <w:tcPr>
            <w:tcW w:type="dxa" w:w="1531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—</w:t>
            </w:r>
          </w:p>
        </w:tc>
        <w:tc>
          <w:tcPr>
            <w:tcW w:type="dxa" w:w="1701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—</w:t>
            </w:r>
          </w:p>
        </w:tc>
        <w:tc>
          <w:tcPr>
            <w:tcW w:type="dxa" w:w="1814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REQ-6.1.5廃止（V-28で担保継続）</w:t>
            </w:r>
          </w:p>
        </w:tc>
        <w:tc>
          <w:tcPr>
            <w:tcW w:type="dxa" w:w="1417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REQ-6.1.5</w:t>
            </w:r>
          </w:p>
        </w:tc>
        <w:tc>
          <w:tcPr>
            <w:tcW w:type="dxa" w:w="680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廃止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V-32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シート名/見出し31列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1件出力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「製造記録一覧」/31見出し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見出し・シート名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REQ-6.2.2/6.1.1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結合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V-33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行が製造日昇順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6/13と6/2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6/2が上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出力も昇順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REQ-6.1.3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結合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V-34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測定値セルが数値型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1件出力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float型セル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Excelでも数値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REQ-6.1.4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結合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V-35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空特記→空セル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特記空1件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空セル(None)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空欄の書き方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REQ-3.2.1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結合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V-36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区切り〜/～・単位％/%原文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両種含む規格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原文のまま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正規化しない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REQ-2.2.1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結合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V-37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0件→見出しのみ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空リスト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見出し1行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0件の出力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REQ-6.1.1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結合</w:t>
            </w:r>
          </w:p>
        </w:tc>
      </w:tr>
      <w:tr>
        <w:tc>
          <w:tcPr>
            <w:tcW w:type="dxa" w:w="62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V-38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重複を残す</w:t>
            </w:r>
          </w:p>
        </w:tc>
        <w:tc>
          <w:tcPr>
            <w:tcW w:type="dxa" w:w="153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同一文書番号2件</w:t>
            </w:r>
          </w:p>
        </w:tc>
        <w:tc>
          <w:tcPr>
            <w:tcW w:type="dxa" w:w="1701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2行とも出力</w:t>
            </w:r>
          </w:p>
        </w:tc>
        <w:tc>
          <w:tcPr>
            <w:tcW w:type="dxa" w:w="1814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重複排除しない</w:t>
            </w:r>
          </w:p>
        </w:tc>
        <w:tc>
          <w:tcPr>
            <w:tcW w:type="dxa" w:w="1417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REQ-1.1.3</w:t>
            </w:r>
          </w:p>
        </w:tc>
        <w:tc>
          <w:tcPr>
            <w:tcW w:type="dxa" w:w="680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結合</w:t>
            </w:r>
          </w:p>
        </w:tc>
      </w:tr>
      <w:tr>
        <w:tc>
          <w:tcPr>
            <w:tcW w:type="dxa" w:w="624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V-39</w:t>
            </w:r>
          </w:p>
        </w:tc>
        <w:tc>
          <w:tcPr>
            <w:tcW w:type="dxa" w:w="1701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【廃止】編集で値差替・赤解除</w:t>
            </w:r>
          </w:p>
        </w:tc>
        <w:tc>
          <w:tcPr>
            <w:tcW w:type="dxa" w:w="1531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—</w:t>
            </w:r>
          </w:p>
        </w:tc>
        <w:tc>
          <w:tcPr>
            <w:tcW w:type="dxa" w:w="1701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—</w:t>
            </w:r>
          </w:p>
        </w:tc>
        <w:tc>
          <w:tcPr>
            <w:tcW w:type="dxa" w:w="1814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REQ-5.2/DES-C12廃止</w:t>
            </w:r>
          </w:p>
        </w:tc>
        <w:tc>
          <w:tcPr>
            <w:tcW w:type="dxa" w:w="1417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REQ-5.2.1</w:t>
            </w:r>
          </w:p>
        </w:tc>
        <w:tc>
          <w:tcPr>
            <w:tcW w:type="dxa" w:w="680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廃止</w:t>
            </w:r>
          </w:p>
        </w:tc>
      </w:tr>
      <w:tr>
        <w:tc>
          <w:tcPr>
            <w:tcW w:type="dxa" w:w="62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V-40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データ構造の保持</w:t>
            </w:r>
          </w:p>
        </w:tc>
        <w:tc>
          <w:tcPr>
            <w:tcW w:type="dxa" w:w="153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Cell/RecordResult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フィールド保持</w:t>
            </w:r>
          </w:p>
        </w:tc>
        <w:tc>
          <w:tcPr>
            <w:tcW w:type="dxa" w:w="181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受け渡しの器</w:t>
            </w:r>
          </w:p>
        </w:tc>
        <w:tc>
          <w:tcPr>
            <w:tcW w:type="dxa" w:w="141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REQ-3.1.2</w:t>
            </w:r>
          </w:p>
        </w:tc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V-41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call_vlm実機</w:t>
            </w:r>
          </w:p>
        </w:tc>
        <w:tc>
          <w:tcPr>
            <w:tcW w:type="dxa" w:w="153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画像→Ollama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dict応答</w:t>
            </w:r>
          </w:p>
        </w:tc>
        <w:tc>
          <w:tcPr>
            <w:tcW w:type="dxa" w:w="181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VLM連携</w:t>
            </w:r>
          </w:p>
        </w:tc>
        <w:tc>
          <w:tcPr>
            <w:tcW w:type="dxa" w:w="141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REQ-2.1.1</w:t>
            </w:r>
          </w:p>
        </w:tc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実機</w:t>
            </w:r>
          </w:p>
        </w:tc>
      </w:tr>
      <w:tr>
        <w:tc>
          <w:tcPr>
            <w:tcW w:type="dxa" w:w="62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V-42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VLM読取精度</w:t>
            </w:r>
          </w:p>
        </w:tc>
        <w:tc>
          <w:tcPr>
            <w:tcW w:type="dxa" w:w="153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サンプル10枚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完成Excelと一致</w:t>
            </w:r>
          </w:p>
        </w:tc>
        <w:tc>
          <w:tcPr>
            <w:tcW w:type="dxa" w:w="181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読取が正しい(人が突合)</w:t>
            </w:r>
          </w:p>
        </w:tc>
        <w:tc>
          <w:tcPr>
            <w:tcW w:type="dxa" w:w="141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REQ-2/3</w:t>
            </w:r>
          </w:p>
        </w:tc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実機</w:t>
            </w:r>
          </w:p>
        </w:tc>
      </w:tr>
      <w:tr>
        <w:tc>
          <w:tcPr>
            <w:tcW w:type="dxa" w:w="624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V-43</w:t>
            </w:r>
          </w:p>
        </w:tc>
        <w:tc>
          <w:tcPr>
            <w:tcW w:type="dxa" w:w="1701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【廃止】UI表示・赤</w:t>
            </w:r>
          </w:p>
        </w:tc>
        <w:tc>
          <w:tcPr>
            <w:tcW w:type="dxa" w:w="1531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—</w:t>
            </w:r>
          </w:p>
        </w:tc>
        <w:tc>
          <w:tcPr>
            <w:tcW w:type="dxa" w:w="1701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—</w:t>
            </w:r>
          </w:p>
        </w:tc>
        <w:tc>
          <w:tcPr>
            <w:tcW w:type="dxa" w:w="1814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REQ-5.1.1廃止（ハイライトはV-46〜50）</w:t>
            </w:r>
          </w:p>
        </w:tc>
        <w:tc>
          <w:tcPr>
            <w:tcW w:type="dxa" w:w="1417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REQ-5.1.1</w:t>
            </w:r>
          </w:p>
        </w:tc>
        <w:tc>
          <w:tcPr>
            <w:tcW w:type="dxa" w:w="680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廃止</w:t>
            </w:r>
          </w:p>
        </w:tc>
      </w:tr>
      <w:tr>
        <w:tc>
          <w:tcPr>
            <w:tcW w:type="dxa" w:w="624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V-44</w:t>
            </w:r>
          </w:p>
        </w:tc>
        <w:tc>
          <w:tcPr>
            <w:tcW w:type="dxa" w:w="1701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【廃止】UI編集</w:t>
            </w:r>
          </w:p>
        </w:tc>
        <w:tc>
          <w:tcPr>
            <w:tcW w:type="dxa" w:w="1531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—</w:t>
            </w:r>
          </w:p>
        </w:tc>
        <w:tc>
          <w:tcPr>
            <w:tcW w:type="dxa" w:w="1701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—</w:t>
            </w:r>
          </w:p>
        </w:tc>
        <w:tc>
          <w:tcPr>
            <w:tcW w:type="dxa" w:w="1814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REQ-5.2.1廃止（修正は出力Excel上）</w:t>
            </w:r>
          </w:p>
        </w:tc>
        <w:tc>
          <w:tcPr>
            <w:tcW w:type="dxa" w:w="1417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REQ-5.2.1</w:t>
            </w:r>
          </w:p>
        </w:tc>
        <w:tc>
          <w:tcPr>
            <w:tcW w:type="dxa" w:w="680"/>
            <w:shd w:val="clear" w:fill="F2DCDB"/>
          </w:tcPr>
          <w:p>
            <w:r/>
            <w:r>
              <w:rPr>
                <w:rFonts w:ascii="Meiryo" w:hAnsi="Meiryo" w:eastAsia="Meiryo"/>
                <w:b w:val="0"/>
                <w:color w:val="990000"/>
                <w:sz w:val="14"/>
              </w:rPr>
              <w:t>廃止</w:t>
            </w:r>
          </w:p>
        </w:tc>
      </w:tr>
      <w:tr>
        <w:tc>
          <w:tcPr>
            <w:tcW w:type="dxa" w:w="62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V-45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薄いクライアントで出力先指定</w:t>
            </w:r>
          </w:p>
        </w:tc>
        <w:tc>
          <w:tcPr>
            <w:tcW w:type="dxa" w:w="153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出力先指定操作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指定先に出力</w:t>
            </w:r>
          </w:p>
        </w:tc>
        <w:tc>
          <w:tcPr>
            <w:tcW w:type="dxa" w:w="181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出力先の指定</w:t>
            </w:r>
          </w:p>
        </w:tc>
        <w:tc>
          <w:tcPr>
            <w:tcW w:type="dxa" w:w="141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REQ-6.2.1</w:t>
            </w:r>
          </w:p>
        </w:tc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手動</w:t>
            </w:r>
          </w:p>
        </w:tc>
      </w:tr>
      <w:tr>
        <w:tc>
          <w:tcPr>
            <w:tcW w:type="dxa" w:w="62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V-46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should_highlight手書き×低自信</w:t>
            </w:r>
          </w:p>
        </w:tc>
        <w:tc>
          <w:tcPr>
            <w:tcW w:type="dxa" w:w="153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手書き低/印字低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手書きTrue/印字False</w:t>
            </w:r>
          </w:p>
        </w:tc>
        <w:tc>
          <w:tcPr>
            <w:tcW w:type="dxa" w:w="181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対象区分の判定</w:t>
            </w:r>
          </w:p>
        </w:tc>
        <w:tc>
          <w:tcPr>
            <w:tcW w:type="dxa" w:w="141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REQ-4.1.1</w:t>
            </w:r>
          </w:p>
        </w:tc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V-47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should_highlight境界</w:t>
            </w:r>
          </w:p>
        </w:tc>
        <w:tc>
          <w:tcPr>
            <w:tcW w:type="dxa" w:w="153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conf=th（手書き）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False（未満のみ）</w:t>
            </w:r>
          </w:p>
        </w:tc>
        <w:tc>
          <w:tcPr>
            <w:tcW w:type="dxa" w:w="181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境界で塗らない</w:t>
            </w:r>
          </w:p>
        </w:tc>
        <w:tc>
          <w:tcPr>
            <w:tcW w:type="dxa" w:w="141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REQ-4.1.1</w:t>
            </w:r>
          </w:p>
        </w:tc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V-48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Excelで手書き低自信を塗る</w:t>
            </w:r>
          </w:p>
        </w:tc>
        <w:tc>
          <w:tcPr>
            <w:tcW w:type="dxa" w:w="153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手書き1セル低自信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HIGHLIGHT色・値不変</w:t>
            </w:r>
          </w:p>
        </w:tc>
        <w:tc>
          <w:tcPr>
            <w:tcW w:type="dxa" w:w="181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ハイライト適用</w:t>
            </w:r>
          </w:p>
        </w:tc>
        <w:tc>
          <w:tcPr>
            <w:tcW w:type="dxa" w:w="141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REQ-4.1.1/6.1.6</w:t>
            </w:r>
          </w:p>
        </w:tc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結合</w:t>
            </w:r>
          </w:p>
        </w:tc>
      </w:tr>
      <w:tr>
        <w:tc>
          <w:tcPr>
            <w:tcW w:type="dxa" w:w="62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V-49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印字は塗らない</w:t>
            </w:r>
          </w:p>
        </w:tc>
        <w:tc>
          <w:tcPr>
            <w:tcW w:type="dxa" w:w="153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印字を低自信に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塗られない</w:t>
            </w:r>
          </w:p>
        </w:tc>
        <w:tc>
          <w:tcPr>
            <w:tcW w:type="dxa" w:w="181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印字は対象外</w:t>
            </w:r>
          </w:p>
        </w:tc>
        <w:tc>
          <w:tcPr>
            <w:tcW w:type="dxa" w:w="141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REQ-4.1.1</w:t>
            </w:r>
          </w:p>
        </w:tc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結合</w:t>
            </w:r>
          </w:p>
        </w:tc>
      </w:tr>
      <w:tr>
        <w:tc>
          <w:tcPr>
            <w:tcW w:type="dxa" w:w="62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V-50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読取失敗行は手書き全塗り</w:t>
            </w:r>
          </w:p>
        </w:tc>
        <w:tc>
          <w:tcPr>
            <w:tcW w:type="dxa" w:w="153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読取失敗レコード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手書き全塗り/印字無</w:t>
            </w:r>
          </w:p>
        </w:tc>
        <w:tc>
          <w:tcPr>
            <w:tcW w:type="dxa" w:w="181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状態と塗りの整合</w:t>
            </w:r>
          </w:p>
        </w:tc>
        <w:tc>
          <w:tcPr>
            <w:tcW w:type="dxa" w:w="141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REQ-4.1.1/6.1.6</w:t>
            </w:r>
          </w:p>
        </w:tc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結合</w:t>
            </w:r>
          </w:p>
        </w:tc>
      </w:tr>
      <w:tr>
        <w:tc>
          <w:tcPr>
            <w:tcW w:type="dxa" w:w="62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V-51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run_batch壊れPDFで止めない</w:t>
            </w:r>
          </w:p>
        </w:tc>
        <w:tc>
          <w:tcPr>
            <w:tcW w:type="dxa" w:w="153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壊れPDF2枚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Summary(2,0,2)/2行</w:t>
            </w:r>
          </w:p>
        </w:tc>
        <w:tc>
          <w:tcPr>
            <w:tcW w:type="dxa" w:w="181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束ね・失敗集計</w:t>
            </w:r>
          </w:p>
        </w:tc>
        <w:tc>
          <w:tcPr>
            <w:tcW w:type="dxa" w:w="141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REQ-6.1.6/7.3.2</w:t>
            </w:r>
          </w:p>
        </w:tc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結合</w:t>
            </w:r>
          </w:p>
        </w:tc>
      </w:tr>
      <w:tr>
        <w:tc>
          <w:tcPr>
            <w:tcW w:type="dxa" w:w="62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V-52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run_batch 0件</w:t>
            </w:r>
          </w:p>
        </w:tc>
        <w:tc>
          <w:tcPr>
            <w:tcW w:type="dxa" w:w="153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空フォルダ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Summary(0,0,0)/見出し</w:t>
            </w:r>
          </w:p>
        </w:tc>
        <w:tc>
          <w:tcPr>
            <w:tcW w:type="dxa" w:w="181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件数境界</w:t>
            </w:r>
          </w:p>
        </w:tc>
        <w:tc>
          <w:tcPr>
            <w:tcW w:type="dxa" w:w="141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REQ-6.1.6</w:t>
            </w:r>
          </w:p>
        </w:tc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結合</w:t>
            </w:r>
          </w:p>
        </w:tc>
      </w:tr>
      <w:tr>
        <w:tc>
          <w:tcPr>
            <w:tcW w:type="dxa" w:w="62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V-53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起動コマンド生成</w:t>
            </w:r>
          </w:p>
        </w:tc>
        <w:tc>
          <w:tcPr>
            <w:tcW w:type="dxa" w:w="153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入力dir/出力path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docker/像/入出力/run_batch</w:t>
            </w:r>
          </w:p>
        </w:tc>
        <w:tc>
          <w:tcPr>
            <w:tcW w:type="dxa" w:w="181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指定が反映</w:t>
            </w:r>
          </w:p>
        </w:tc>
        <w:tc>
          <w:tcPr>
            <w:tcW w:type="dxa" w:w="141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REQ-7.3.1/7.3.2</w:t>
            </w:r>
          </w:p>
        </w:tc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V-54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2経路で同一コマンド</w:t>
            </w:r>
          </w:p>
        </w:tc>
        <w:tc>
          <w:tcPr>
            <w:tcW w:type="dxa" w:w="153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同一入力2回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同一文字列</w:t>
            </w:r>
          </w:p>
        </w:tc>
        <w:tc>
          <w:tcPr>
            <w:tcW w:type="dxa" w:w="181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単一の真実源</w:t>
            </w:r>
          </w:p>
        </w:tc>
        <w:tc>
          <w:tcPr>
            <w:tcW w:type="dxa" w:w="141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REQ-7.2.2/7.1.2</w:t>
            </w:r>
          </w:p>
        </w:tc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単体</w:t>
            </w:r>
          </w:p>
        </w:tc>
      </w:tr>
      <w:tr>
        <w:tc>
          <w:tcPr>
            <w:tcW w:type="dxa" w:w="62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V-55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Paramiko経路実機</w:t>
            </w:r>
          </w:p>
        </w:tc>
        <w:tc>
          <w:tcPr>
            <w:tcW w:type="dxa" w:w="153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SSH/SFTP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接続→転送→回収</w:t>
            </w:r>
          </w:p>
        </w:tc>
        <w:tc>
          <w:tcPr>
            <w:tcW w:type="dxa" w:w="181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経路が動く</w:t>
            </w:r>
          </w:p>
        </w:tc>
        <w:tc>
          <w:tcPr>
            <w:tcW w:type="dxa" w:w="141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REQ-7.1.2/7.2.1/7.3.3</w:t>
            </w:r>
          </w:p>
        </w:tc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実機</w:t>
            </w:r>
          </w:p>
        </w:tc>
      </w:tr>
      <w:tr>
        <w:tc>
          <w:tcPr>
            <w:tcW w:type="dxa" w:w="62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V-56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TeraTerm経路実機</w:t>
            </w:r>
          </w:p>
        </w:tc>
        <w:tc>
          <w:tcPr>
            <w:tcW w:type="dxa" w:w="153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TTLマクロ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同じコマンド投入</w:t>
            </w:r>
          </w:p>
        </w:tc>
        <w:tc>
          <w:tcPr>
            <w:tcW w:type="dxa" w:w="181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2経路の同一性</w:t>
            </w:r>
          </w:p>
        </w:tc>
        <w:tc>
          <w:tcPr>
            <w:tcW w:type="dxa" w:w="141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REQ-7.1.2/7.2.2</w:t>
            </w:r>
          </w:p>
        </w:tc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実機</w:t>
            </w:r>
          </w:p>
        </w:tc>
      </w:tr>
      <w:tr>
        <w:tc>
          <w:tcPr>
            <w:tcW w:type="dxa" w:w="62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V-57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Docker実機・正常系</w:t>
            </w:r>
          </w:p>
        </w:tc>
        <w:tc>
          <w:tcPr>
            <w:tcW w:type="dxa" w:w="153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コンテナ起動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GPUでrun_batch(ok&gt;0)</w:t>
            </w:r>
          </w:p>
        </w:tc>
        <w:tc>
          <w:tcPr>
            <w:tcW w:type="dxa" w:w="181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実環境で読取完遂</w:t>
            </w:r>
          </w:p>
        </w:tc>
        <w:tc>
          <w:tcPr>
            <w:tcW w:type="dxa" w:w="141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REQ-7.3.1/7.3.2/6.1.6</w:t>
            </w:r>
          </w:p>
        </w:tc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実機</w:t>
            </w:r>
          </w:p>
        </w:tc>
      </w:tr>
      <w:tr>
        <w:tc>
          <w:tcPr>
            <w:tcW w:type="dxa" w:w="62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V-58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薄いクライアントUI</w:t>
            </w:r>
          </w:p>
        </w:tc>
        <w:tc>
          <w:tcPr>
            <w:tcW w:type="dxa" w:w="153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指定操作</w:t>
            </w:r>
          </w:p>
        </w:tc>
        <w:tc>
          <w:tcPr>
            <w:tcW w:type="dxa" w:w="1701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件数表示・表なし</w:t>
            </w:r>
          </w:p>
        </w:tc>
        <w:tc>
          <w:tcPr>
            <w:tcW w:type="dxa" w:w="1814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画面操作</w:t>
            </w:r>
          </w:p>
        </w:tc>
        <w:tc>
          <w:tcPr>
            <w:tcW w:type="dxa" w:w="1417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REQ-7.1.1/6.2.1</w:t>
            </w:r>
          </w:p>
        </w:tc>
        <w:tc>
          <w:tcPr>
            <w:tcW w:type="dxa" w:w="680"/>
            <w:shd w:val="clear" w:fill="E2EFDA"/>
          </w:tcPr>
          <w:p>
            <w:r/>
            <w:r>
              <w:rPr>
                <w:rFonts w:ascii="Meiryo" w:hAnsi="Meiryo" w:eastAsia="Meiryo"/>
                <w:b w:val="0"/>
                <w:sz w:val="14"/>
              </w:rPr>
              <w:t>手動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hAnsi="Meiryo" w:eastAsia="Meiryo"/>
          <w:b/>
          <w:color w:val="1F4E78"/>
          <w:sz w:val="27"/>
        </w:rPr>
        <w:t>3. 重点的に狙う境目</w:t>
      </w:r>
    </w:p>
    <w:p>
      <w:pPr>
        <w:spacing w:after="80"/>
      </w:pPr>
      <w:r>
        <w:rPr>
          <w:rFonts w:ascii="Meiryo" w:hAnsi="Meiryo" w:eastAsia="Meiryo"/>
          <w:b w:val="0"/>
          <w:sz w:val="21"/>
        </w:rPr>
        <w:t>v1の境目は据え置き（しきい値ちょうど・安定ソート・None日付・丸めなし・float表現・空欄・原文コピー・壊れ1枚）。v2で加わる境目は次のとおり。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ハイライトの境界（V-47）：should_highlight も「未満のみ」。自信度=しきい値=0.80 の手書きセルは塗らない。is_low_confidence（V-20）の境界がハイライト側にも一貫して効くことを確かめる。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区分の境界＝印字は絶対に塗らない（V-49）：印字項目は自信度がいくら低くても対象外。手書き/印字の判定は COLUMN_DEFS の区分に一元化される（設計v2 2-6）。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状態と塗りの整合（V-50）：読取失敗レコード（全セル conf=0.0）は、手書き項目が“空セルでも”全て塗られ、印字は塗られない。空(None)のセルに塗りが乗る点が要確認（人に行全体の確認を促すため）。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1枚失敗で止めない（V-51）：run_batch は壊れPDFを失敗に数えつつ処理を続け、全記録（成功＋失敗）をExcelに書き、BatchSummary で件数を返す。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両経路の同一性（V-54）：build_server_command は同一入力に対し同一文字列を返す。Paramiko経路とTeraTerm経路が“同じコマンド”を投げる契約（REQ-7.2.2）を、文字列の一致で担保する。</w:t>
      </w:r>
    </w:p>
    <w:p>
      <w:pPr>
        <w:pStyle w:val="Heading1"/>
      </w:pPr>
      <w:r>
        <w:rPr>
          <w:rFonts w:ascii="Meiryo" w:hAnsi="Meiryo" w:eastAsia="Meiryo"/>
          <w:b/>
          <w:color w:val="1F4E78"/>
          <w:sz w:val="27"/>
        </w:rPr>
        <w:t>4. テスト用入力データ（フィクスチャ）の作り方</w:t>
      </w:r>
    </w:p>
    <w:p>
      <w:pPr>
        <w:spacing w:after="80"/>
      </w:pPr>
      <w:r>
        <w:rPr>
          <w:rFonts w:ascii="Meiryo" w:hAnsi="Meiryo" w:eastAsia="Meiryo"/>
          <w:b w:val="0"/>
          <w:sz w:val="21"/>
        </w:rPr>
        <w:t>v1の作り方（make_record／make_raw／tmp_pathにファイル生成／L250602Aを基点）は据え置き。v2追加分は新規ファイル tests/test_manufacturing_record_v2.py 内で組み立てる（既存ファイルは書き換えない）。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ハイライト用レコード：make_record(confidences={キー:低い値}) で任意セルの自信度を下げ、手書き（例 m0900_fill）と印字（例 doc_no）を撃ち分ける。読取失敗は make_failed_record が全項目 value=""・confidence=0.0 のレコードを作る（設計v2 2-7(3)）。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塗りの検証：write_excel 後に openpyxl で読み戻し、セルの fill.fgColor.rgb を確認する。期待色は config.HIGHLIGHT_FILL_RGB を正とし、色リテラルは書かない（確定待ち⑨：色は設計裁量）。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バッチ用フォルダ：tmp_path に壊れPDF（b"not a pdf"）を置く。renderで失敗→読取失敗に畳まれるため、Ollama無しで run_batch の束ね・集計・件数を決定論的に確かめられる（正常系ok&gt;0は実機V-57）。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コマンド生成：build_server_command に入力dir・出力pathの文字列を渡し、戻り文字列に docker・CONTAINER_IMAGE・両パス・run_batch が含まれること、同一入力で同一文字列になることを見る。</w:t>
      </w:r>
    </w:p>
    <w:p>
      <w:pPr>
        <w:spacing w:after="80"/>
      </w:pPr>
      <w:r>
        <w:rPr>
          <w:rFonts w:ascii="Meiryo" w:hAnsi="Meiryo" w:eastAsia="Meiryo"/>
          <w:b w:val="0"/>
          <w:sz w:val="19"/>
        </w:rPr>
        <w:t>cfg引数の前提：v1同様、COLUMN_DEFS・SHEET_NAME に加え v2で HIGHLIGHT_FILL_RGB・CONTAINER_IMAGE 等を属性に持つ名前空間として config モジュールを渡す。実装が Config クラスを採るならインスタンスに差し替える。</w:t>
      </w:r>
    </w:p>
    <w:p>
      <w:pPr>
        <w:pStyle w:val="Heading1"/>
      </w:pPr>
      <w:r>
        <w:rPr>
          <w:rFonts w:ascii="Meiryo" w:hAnsi="Meiryo" w:eastAsia="Meiryo"/>
          <w:b/>
          <w:color w:val="1F4E78"/>
          <w:sz w:val="27"/>
        </w:rPr>
        <w:t>5. テストコード（pytest・@id／@verify付き）</w:t>
      </w:r>
    </w:p>
    <w:p>
      <w:pPr>
        <w:spacing w:after="80"/>
      </w:pPr>
      <w:r>
        <w:rPr>
          <w:rFonts w:ascii="Meiryo" w:hAnsi="Meiryo" w:eastAsia="Meiryo"/>
          <w:b w:val="0"/>
          <w:sz w:val="21"/>
        </w:rPr>
        <w:t>v2追加分は別ファイル tests/test_manufacturing_record_v2.py として添付する（既存 test_manufacturing_record.py は書き換えない＝リグレッション回避）。各テスト本体先頭の「# コメント行」に @id（V-）と @verify（REQ-）を1行1IDで記す（docstring内には書かない＝基礎9）。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追加の自動テスト9件（V-46〜V-54）。実行前提：Python3.11系、pytest、openpyxl。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実行例：pytest tests/ -v （既存V-01〜V-40と合わせて走らせる）。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V-55〜V-58は実機／手動のため本フェーズのテストコードには含めない（下のマトリクスで担当を明示）。</w:t>
      </w:r>
    </w:p>
    <w:p>
      <w:pPr>
        <w:pStyle w:val="Heading1"/>
      </w:pPr>
      <w:r>
        <w:rPr>
          <w:rFonts w:ascii="Meiryo" w:hAnsi="Meiryo" w:eastAsia="Meiryo"/>
          <w:b/>
          <w:color w:val="1F4E78"/>
          <w:sz w:val="27"/>
        </w:rPr>
        <w:t>6. トレーサビリティマトリクス</w:t>
      </w:r>
    </w:p>
    <w:p>
      <w:pPr>
        <w:spacing w:after="80"/>
      </w:pPr>
      <w:r>
        <w:rPr>
          <w:rFonts w:ascii="Meiryo" w:hAnsi="Meiryo" w:eastAsia="Meiryo"/>
          <w:b w:val="0"/>
          <w:sz w:val="21"/>
        </w:rPr>
        <w:t>要求ID × 設計ID × テストID を別ファイル「トレーサビリティマトリクス_製造記録票PDF集計ツール_v2.xlsx」に更新して添付する。追加IDを反映し、廃止IDに印を付けた。v2要求の全小項目IDに担当が付いていることを確認済み。</w:t>
      </w:r>
    </w:p>
    <w:p>
      <w:pPr>
        <w:spacing w:after="40"/>
      </w:pPr>
      <w:r>
        <w:rPr>
          <w:rFonts w:ascii="Meiryo" w:hAnsi="Meiryo" w:eastAsia="Meiryo"/>
          <w:b/>
          <w:sz w:val="21"/>
        </w:rPr>
        <w:t>穴・廃止・確定待ちの扱い（基礎7／8／10）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穴（担当なしの要求）：なし。REQ-1〜4・6・7の全小項目に自動テストまたは実機/手動を割り当て済み。廃止REQ-5.x・REQ-6.1.5は、廃止DES（C12/U03/U04）・退役V（V-31/39/43/44）に対応づけ、行を残した。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手動／実機に回すのは、純粋な画面操作（V-58）と、実I/O・実環境依存（V-55〜V-57、VLM精度V-42）に限る。判断（should_highlight・run_batchの集計・コマンド生成）はすべてコア関数として自動化（基礎3）。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v2で追加の確定待ち⑨〜⑭（ハイライト色・ヘッダ色・PDF転送手段・2経路同一性・都度起動時間・GPU配置）：⑨⑩は外側・リスク小で既定のまま（ヘッダ色は手動確認）。⑪⑫⑬⑭は実機で確定（V-55〜V-57で確認）。確定待ち⑧（編集で赤を外す）はREQ-5廃止に伴い解消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ヘッダ行の塗り（確定待ち⑩・外側）は自動テストにせず手動確認とする（基礎10：外側は目で気づけるため、自動テストの対象にせずマトリクスに残す）。ピンクのハイライトは判断の帰結＝内側なので自動（V-48〜50）。</w:t>
      </w:r>
    </w:p>
    <w:p>
      <w:pPr>
        <w:pStyle w:val="Heading1"/>
      </w:pPr>
      <w:r>
        <w:rPr>
          <w:rFonts w:ascii="Meiryo" w:hAnsi="Meiryo" w:eastAsia="Meiryo"/>
          <w:b/>
          <w:color w:val="1F4E78"/>
          <w:sz w:val="27"/>
        </w:rPr>
        <w:t>7. テストしないこと</w:t>
      </w:r>
    </w:p>
    <w:p>
      <w:pPr>
        <w:spacing w:after="80"/>
      </w:pPr>
      <w:r>
        <w:rPr>
          <w:rFonts w:ascii="Meiryo" w:hAnsi="Meiryo" w:eastAsia="Meiryo"/>
          <w:b w:val="0"/>
          <w:sz w:val="21"/>
        </w:rPr>
        <w:t>要求仕様書v2「6. やらないこと」に沿い、次はテスト対象外とする。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規格と測定値の突き合わせ（合否判定）：ツールが行わない。値を写すのみ。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氏名・規格区切り・単位の正規化：行わない（原文コピー）。正規化されないことはV-13/36で逆に担保。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【v2】画面での表形式表示・その場修正：REQ-5廃止によりUI自体が無い（旧V-43/44を退役）。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【v2】修正後Excelの再取り込み：システムはExcel出力で完了。人による手修正はテスト範囲外（REQ-6.1.6）。</w:t>
      </w:r>
    </w:p>
    <w:p>
      <w:pPr>
        <w:pStyle w:val="ListBullet"/>
      </w:pPr>
      <w:r>
        <w:rPr>
          <w:rFonts w:ascii="Meiryo" w:hAnsi="Meiryo" w:eastAsia="Meiryo"/>
          <w:b w:val="0"/>
          <w:sz w:val="21"/>
        </w:rPr>
        <w:t>PDF化（紙のスキャン）・複数様式/複数製品様式への対応：対象外（F-PRD-014 第3版に限る）。</w:t>
      </w:r>
    </w:p>
    <w:p>
      <w:pPr>
        <w:spacing w:after="80"/>
      </w:pPr>
      <w:r>
        <w:rPr>
          <w:rFonts w:ascii="Meiryo" w:hAnsi="Meiryo" w:eastAsia="Meiryo"/>
          <w:b w:val="0"/>
          <w:sz w:val="19"/>
        </w:rPr>
        <w:t>加えて、VLMの読み取り精度（V-42）とSSH/Docker/GPUの実挙動（V-55〜V-57）は決定論オラクル不能のため自動テストにしない。起動コマンドの“文字列”生成と両経路の同一性（V-53/54）は決定論で担保する。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eiryo" w:hAnsi="Meiryo" w:eastAsia="Meiryo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